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D5683" w14:textId="14C24B08" w:rsidR="002F2E98" w:rsidRDefault="00AD40E7">
      <w:pPr>
        <w:pStyle w:val="Heading1"/>
        <w:ind w:left="355"/>
      </w:pPr>
      <w:r>
        <w:t xml:space="preserve">Beschrijving borging vakbekwaamheid </w:t>
      </w:r>
    </w:p>
    <w:p w14:paraId="12BD5684" w14:textId="2F5D6ABE" w:rsidR="002F2E98" w:rsidRDefault="00AD40E7" w:rsidP="00F37C71">
      <w:pPr>
        <w:spacing w:after="0" w:line="360" w:lineRule="auto"/>
        <w:ind w:left="415" w:right="393"/>
      </w:pPr>
      <w:r>
        <w:t xml:space="preserve">De financieel dienstverlener moet zorgen dat alle klantmedewerkers met inhoudelijk klantcontact via de bedrijfsvoering aantoonbaar permanent actueel vakbekwaam zijn. Daarnaast geldt dat iedereen die de klant adviseert, in de zin van de Wft, zijn vakbekwaamheid moet aantonen met een Wft-diploma voor de onderwerpen waarin zij adviseren. Dit geldt voor alle adviseurs die werken bij financiële dienstverleners, banken en verzekeraars en voor aangesloten </w:t>
      </w:r>
      <w:r w:rsidR="00F37C71">
        <w:t>ondernemingen</w:t>
      </w:r>
      <w:r>
        <w:t xml:space="preserve"> en verbonden bemiddelaars.  </w:t>
      </w:r>
    </w:p>
    <w:p w14:paraId="12BD5685" w14:textId="77777777" w:rsidR="002F2E98" w:rsidRDefault="00AD40E7" w:rsidP="00F37C71">
      <w:pPr>
        <w:spacing w:after="0" w:line="360" w:lineRule="auto"/>
        <w:ind w:right="0"/>
      </w:pPr>
      <w:r>
        <w:t xml:space="preserve"> </w:t>
      </w:r>
    </w:p>
    <w:p w14:paraId="12BD5686" w14:textId="77777777" w:rsidR="002F2E98" w:rsidRDefault="00AD40E7" w:rsidP="00F37C71">
      <w:pPr>
        <w:numPr>
          <w:ilvl w:val="0"/>
          <w:numId w:val="3"/>
        </w:numPr>
        <w:spacing w:after="0" w:line="360" w:lineRule="auto"/>
        <w:ind w:right="393" w:hanging="360"/>
      </w:pPr>
      <w:r>
        <w:t xml:space="preserve">Al uw klantmedewerkers moeten voldoende zijn opgeleid voor de werkzaamheden die zij verrichten. Dit geldt zowel voor de adviserende klantmedewerkers als voor andere klantmedewerkers. Bovendien verwacht de wetgever dat deze kennis continue wordt bijgehouden. U kunt hierbij denken aan een adequaat systeem van interne opleidingstrajecten of een structuur waarbij gediplomeerde personen binnen uw organisatie hun vakbekwaamheid delen via computersystemen of handleidingen. Om toezicht te kunnen uitoefenen op de naleving van de vakbekwaamheidseisen, verwacht de AFM dat u in de beschrijving van uw bedrijfsprocessen vastlegt op welke wijze u de vakbekwaamheid binnen uw organisatie heeft georganiseerd. </w:t>
      </w:r>
    </w:p>
    <w:p w14:paraId="0652F99F" w14:textId="77777777" w:rsidR="00894DF5" w:rsidRDefault="00894DF5" w:rsidP="00F37C71">
      <w:pPr>
        <w:spacing w:after="0" w:line="360" w:lineRule="auto"/>
        <w:ind w:left="1080" w:right="393"/>
      </w:pPr>
    </w:p>
    <w:p w14:paraId="12BD5687" w14:textId="77777777" w:rsidR="002F2E98" w:rsidRDefault="00AD40E7" w:rsidP="00F37C71">
      <w:pPr>
        <w:numPr>
          <w:ilvl w:val="0"/>
          <w:numId w:val="3"/>
        </w:numPr>
        <w:spacing w:after="0" w:line="360" w:lineRule="auto"/>
        <w:ind w:right="393" w:hanging="360"/>
      </w:pPr>
      <w:r>
        <w:t xml:space="preserve">Bij indiensttreding wordt de controle uitgevoerd dat klantmedewerkers die zich bezighouden met advies de relevante diploma’s hebben behaald, en dat is voldaan aan de daarbij behorende verplichtingen inzake permanente educatie.  </w:t>
      </w:r>
    </w:p>
    <w:p w14:paraId="12BD5688" w14:textId="77777777" w:rsidR="002F2E98" w:rsidRDefault="00AD40E7" w:rsidP="00F37C71">
      <w:pPr>
        <w:spacing w:after="0" w:line="360" w:lineRule="auto"/>
        <w:ind w:left="1068" w:right="0"/>
      </w:pPr>
      <w:r>
        <w:t xml:space="preserve"> </w:t>
      </w:r>
    </w:p>
    <w:p w14:paraId="12BD5689" w14:textId="750182CE" w:rsidR="002F2E98" w:rsidRDefault="00AD40E7" w:rsidP="00F37C71">
      <w:pPr>
        <w:numPr>
          <w:ilvl w:val="0"/>
          <w:numId w:val="3"/>
        </w:numPr>
        <w:spacing w:after="0" w:line="360" w:lineRule="auto"/>
        <w:ind w:right="393" w:hanging="360"/>
      </w:pPr>
      <w:r>
        <w:t xml:space="preserve">Voor iedere klantmedewerker is vastgelegd in een functieprofiel voor welke product/dienstcombinatie hij/zij welke werkzaamheden verricht en wat de daaraan verbonden bevoegdheden zijn. Voor iedere medewerker is in een functieprofiel vastgelegd hoe de borging van de vakbekwaamheid is geregeld. </w:t>
      </w:r>
    </w:p>
    <w:p w14:paraId="12BD568C" w14:textId="6B62C68B" w:rsidR="002F2E98" w:rsidRDefault="00AD40E7" w:rsidP="00F37C71">
      <w:pPr>
        <w:spacing w:after="0" w:line="360" w:lineRule="auto"/>
        <w:ind w:left="1068" w:right="0"/>
      </w:pPr>
      <w:r>
        <w:t xml:space="preserve"> </w:t>
      </w:r>
    </w:p>
    <w:p w14:paraId="12BD568D" w14:textId="77777777" w:rsidR="002F2E98" w:rsidRDefault="00AD40E7" w:rsidP="00F37C71">
      <w:pPr>
        <w:numPr>
          <w:ilvl w:val="0"/>
          <w:numId w:val="3"/>
        </w:numPr>
        <w:spacing w:after="0" w:line="360" w:lineRule="auto"/>
        <w:ind w:right="393" w:hanging="360"/>
      </w:pPr>
      <w:r>
        <w:t xml:space="preserve">De bestuurder is verantwoordelijk voor het toezicht op de werkzaamheden in het kader van de financiële dienstverlening. Hierbij borgt de bestuurder dat alle adviseurs beschikken over de relevante diploma’s en permanente educatie en dat alle klantmedewerkers aantoonbaar permanent actueel vakbekwaam zijn. </w:t>
      </w:r>
    </w:p>
    <w:p w14:paraId="12BD568E" w14:textId="77777777" w:rsidR="002F2E98" w:rsidRDefault="00AD40E7" w:rsidP="00F37C71">
      <w:pPr>
        <w:spacing w:after="0" w:line="360" w:lineRule="auto"/>
        <w:ind w:left="1068" w:right="0"/>
      </w:pPr>
      <w:r>
        <w:t xml:space="preserve"> </w:t>
      </w:r>
    </w:p>
    <w:p w14:paraId="659A52E7" w14:textId="77777777" w:rsidR="008737CB" w:rsidRDefault="00AD40E7" w:rsidP="00F37C71">
      <w:pPr>
        <w:numPr>
          <w:ilvl w:val="0"/>
          <w:numId w:val="3"/>
        </w:numPr>
        <w:spacing w:after="0" w:line="360" w:lineRule="auto"/>
        <w:ind w:right="393" w:hanging="360"/>
      </w:pPr>
      <w:r>
        <w:t xml:space="preserve">Er zijn voldoende adviseurs en andere vakbekwame klantmedewerkers voor de product/dienstcombinaties werkzaam in de onderneming, in overeenstemming met de Wft-vergunning. </w:t>
      </w:r>
    </w:p>
    <w:p w14:paraId="6C6B6426" w14:textId="77777777" w:rsidR="008737CB" w:rsidRDefault="008737CB" w:rsidP="00F37C71">
      <w:pPr>
        <w:pStyle w:val="ListParagraph"/>
        <w:spacing w:after="0" w:line="360" w:lineRule="auto"/>
      </w:pPr>
    </w:p>
    <w:p w14:paraId="12BD5690" w14:textId="17063E8D" w:rsidR="002F2E98" w:rsidRDefault="00AD40E7" w:rsidP="00F37C71">
      <w:pPr>
        <w:numPr>
          <w:ilvl w:val="0"/>
          <w:numId w:val="3"/>
        </w:numPr>
        <w:spacing w:after="0" w:line="360" w:lineRule="auto"/>
        <w:ind w:right="393" w:hanging="360"/>
      </w:pPr>
      <w:r>
        <w:t xml:space="preserve">Alle adviseurs beschikken over de relevante diploma’s en voldoen aan de bijbehorende PE verplichtingen. Als door ziekte of arbeidsongeschiktheid van een adviseur de vakbekwame uitvoering van de financiële dienstverlening niet meer afdoende kan worden geborgd, neemt de bestuurder tijdig adequate maatregelen om afbreuk aan het vereiste vakbekwaamheidsniveau te voorkomen. </w:t>
      </w:r>
    </w:p>
    <w:p w14:paraId="12BD5691" w14:textId="77777777" w:rsidR="002F2E98" w:rsidRDefault="00AD40E7" w:rsidP="00F37C71">
      <w:pPr>
        <w:spacing w:after="0" w:line="360" w:lineRule="auto"/>
        <w:ind w:left="1068" w:right="0"/>
      </w:pPr>
      <w:r>
        <w:lastRenderedPageBreak/>
        <w:t xml:space="preserve"> </w:t>
      </w:r>
    </w:p>
    <w:p w14:paraId="12BD5692" w14:textId="77777777" w:rsidR="002F2E98" w:rsidRDefault="00AD40E7" w:rsidP="00F37C71">
      <w:pPr>
        <w:numPr>
          <w:ilvl w:val="0"/>
          <w:numId w:val="3"/>
        </w:numPr>
        <w:spacing w:after="0" w:line="360" w:lineRule="auto"/>
        <w:ind w:right="393" w:hanging="360"/>
      </w:pPr>
      <w:r>
        <w:t xml:space="preserve">Elke medewerker die adviseert in de zin van de Wft is verantwoordelijk voor het opgestelde advies op volledigheid, juistheid en de motivering. Een adviseur mag enkel adviseren in producten waarvoor hij/zij bevoegd en vakbekwaam is. </w:t>
      </w:r>
    </w:p>
    <w:p w14:paraId="12BD5693" w14:textId="77777777" w:rsidR="002F2E98" w:rsidRDefault="00AD40E7" w:rsidP="00F37C71">
      <w:pPr>
        <w:spacing w:after="0" w:line="360" w:lineRule="auto"/>
        <w:ind w:left="1068" w:right="0"/>
      </w:pPr>
      <w:r>
        <w:t xml:space="preserve"> </w:t>
      </w:r>
    </w:p>
    <w:p w14:paraId="12BD5694" w14:textId="77777777" w:rsidR="002F2E98" w:rsidRDefault="00AD40E7" w:rsidP="00F37C71">
      <w:pPr>
        <w:numPr>
          <w:ilvl w:val="0"/>
          <w:numId w:val="3"/>
        </w:numPr>
        <w:spacing w:after="0" w:line="360" w:lineRule="auto"/>
        <w:ind w:right="393" w:hanging="360"/>
      </w:pPr>
      <w:r>
        <w:t xml:space="preserve">Daartoe aangewezen vakbekwame adviseurs kunnen elkaar over en weer bijstaan en coachen bij het opstellen van - onderdelen van - adviezen over impactvolle producten. Een advies in de zin van de Wft aan een klant mag enkel worden verstrekt door een klantmedewerker met een geldig diploma. </w:t>
      </w:r>
    </w:p>
    <w:p w14:paraId="12BD5695" w14:textId="77777777" w:rsidR="002F2E98" w:rsidRDefault="00AD40E7" w:rsidP="00F37C71">
      <w:pPr>
        <w:spacing w:after="0" w:line="360" w:lineRule="auto"/>
        <w:ind w:left="1068" w:right="0"/>
      </w:pPr>
      <w:r>
        <w:t xml:space="preserve"> </w:t>
      </w:r>
    </w:p>
    <w:p w14:paraId="12BD5696" w14:textId="1EB3050B" w:rsidR="002F2E98" w:rsidRDefault="00AD40E7" w:rsidP="00F37C71">
      <w:pPr>
        <w:numPr>
          <w:ilvl w:val="0"/>
          <w:numId w:val="3"/>
        </w:numPr>
        <w:spacing w:after="0" w:line="360" w:lineRule="auto"/>
        <w:ind w:right="393" w:hanging="360"/>
      </w:pPr>
      <w:r>
        <w:t xml:space="preserve">In het </w:t>
      </w:r>
      <w:r w:rsidR="008737CB">
        <w:t>personeelsdossier zijn</w:t>
      </w:r>
      <w:r>
        <w:t xml:space="preserve"> per klantmedewerker en adviseur bovenstaande gegevens en afspraken vastgelegd en bijgehouden. </w:t>
      </w:r>
      <w:r w:rsidR="008737CB">
        <w:t>Deze gegevens ten aanzien van de vakbekwaamheid</w:t>
      </w:r>
      <w:r>
        <w:t xml:space="preserve"> word</w:t>
      </w:r>
      <w:r w:rsidR="008737CB">
        <w:t>en</w:t>
      </w:r>
      <w:r>
        <w:t xml:space="preserve"> tot twee jaar na uitdiensttreding bewaard in het personeelsdossier van de betrokkene. </w:t>
      </w:r>
    </w:p>
    <w:p w14:paraId="12BD5697" w14:textId="77777777" w:rsidR="002F2E98" w:rsidRDefault="00AD40E7" w:rsidP="00F37C71">
      <w:pPr>
        <w:spacing w:after="0" w:line="360" w:lineRule="auto"/>
        <w:ind w:right="0"/>
      </w:pPr>
      <w:r>
        <w:rPr>
          <w:b/>
          <w:color w:val="A98F00"/>
          <w:sz w:val="24"/>
        </w:rPr>
        <w:t xml:space="preserve"> </w:t>
      </w:r>
    </w:p>
    <w:p w14:paraId="12BD5699" w14:textId="174CCC27" w:rsidR="002F2E98" w:rsidRDefault="00AD40E7" w:rsidP="00F37C71">
      <w:pPr>
        <w:spacing w:after="0" w:line="360" w:lineRule="auto"/>
        <w:ind w:right="0"/>
      </w:pPr>
      <w:r>
        <w:rPr>
          <w:b/>
          <w:color w:val="A98F00"/>
          <w:sz w:val="24"/>
        </w:rPr>
        <w:t xml:space="preserve">  </w:t>
      </w:r>
      <w:r>
        <w:rPr>
          <w:b/>
          <w:color w:val="A98F00"/>
          <w:sz w:val="24"/>
        </w:rPr>
        <w:tab/>
        <w:t xml:space="preserve"> </w:t>
      </w:r>
    </w:p>
    <w:sectPr w:rsidR="002F2E98" w:rsidSect="00894DF5">
      <w:headerReference w:type="even" r:id="rId14"/>
      <w:headerReference w:type="default" r:id="rId15"/>
      <w:footerReference w:type="even" r:id="rId16"/>
      <w:footerReference w:type="default" r:id="rId17"/>
      <w:headerReference w:type="first" r:id="rId18"/>
      <w:footerReference w:type="first" r:id="rId19"/>
      <w:pgSz w:w="11906" w:h="16838"/>
      <w:pgMar w:top="2694" w:right="1573" w:bottom="1418" w:left="1056" w:header="612"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5838" w14:textId="77777777" w:rsidR="00DB5289" w:rsidRDefault="00DB5289">
      <w:pPr>
        <w:spacing w:after="0" w:line="240" w:lineRule="auto"/>
      </w:pPr>
      <w:r>
        <w:separator/>
      </w:r>
    </w:p>
  </w:endnote>
  <w:endnote w:type="continuationSeparator" w:id="0">
    <w:p w14:paraId="12BD5839" w14:textId="77777777" w:rsidR="00DB5289" w:rsidRDefault="00D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4E" w14:textId="77777777" w:rsidR="00DB5289" w:rsidRDefault="00DB5289">
    <w:pPr>
      <w:spacing w:after="0" w:line="238" w:lineRule="auto"/>
      <w:ind w:right="-17" w:firstLine="8812"/>
    </w:pPr>
    <w:r>
      <w:rPr>
        <w:rFonts w:ascii="Kartika" w:eastAsia="Kartika" w:hAnsi="Kartika" w:cs="Kartika"/>
        <w:color w:val="000000"/>
        <w:sz w:val="21"/>
      </w:rPr>
      <w:fldChar w:fldCharType="begin"/>
    </w:r>
    <w:r>
      <w:rPr>
        <w:rFonts w:ascii="Kartika" w:eastAsia="Kartika" w:hAnsi="Kartika" w:cs="Kartika"/>
        <w:color w:val="000000"/>
        <w:sz w:val="21"/>
      </w:rPr>
      <w:instrText xml:space="preserve"> PAGE   \* MERGEFORMAT </w:instrText>
    </w:r>
    <w:r>
      <w:rPr>
        <w:rFonts w:ascii="Kartika" w:eastAsia="Kartika" w:hAnsi="Kartika" w:cs="Kartika"/>
        <w:color w:val="000000"/>
        <w:sz w:val="21"/>
      </w:rPr>
      <w:fldChar w:fldCharType="separate"/>
    </w:r>
    <w:r>
      <w:rPr>
        <w:rFonts w:ascii="Kartika" w:eastAsia="Kartika" w:hAnsi="Kartika" w:cs="Kartika"/>
        <w:color w:val="000000"/>
        <w:sz w:val="21"/>
      </w:rPr>
      <w:t>1</w:t>
    </w:r>
    <w:r>
      <w:rPr>
        <w:rFonts w:ascii="Kartika" w:eastAsia="Kartika" w:hAnsi="Kartika" w:cs="Kartika"/>
        <w:color w:val="000000"/>
        <w:sz w:val="21"/>
      </w:rPr>
      <w:fldChar w:fldCharType="end"/>
    </w:r>
    <w:r>
      <w:rPr>
        <w:rFonts w:ascii="Kartika" w:eastAsia="Kartika" w:hAnsi="Kartika" w:cs="Kartika"/>
        <w:color w:val="000000"/>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68C6" w14:textId="0A555604" w:rsidR="00894DF5" w:rsidRPr="00894DF5" w:rsidRDefault="00894DF5">
    <w:pPr>
      <w:pStyle w:val="Footer"/>
      <w:rPr>
        <w:rFonts w:ascii="Arial" w:hAnsi="Arial" w:cs="Arial"/>
        <w:color w:val="44546A" w:themeColor="text2"/>
        <w:sz w:val="16"/>
        <w:szCs w:val="16"/>
      </w:rPr>
    </w:pPr>
    <w:r w:rsidRPr="00894DF5">
      <w:rPr>
        <w:rFonts w:ascii="Arial" w:hAnsi="Arial" w:cs="Arial"/>
        <w:color w:val="44546A" w:themeColor="text2"/>
        <w:sz w:val="16"/>
        <w:szCs w:val="16"/>
      </w:rPr>
      <w:t xml:space="preserve">Versie </w:t>
    </w:r>
    <w:r w:rsidR="008737CB">
      <w:rPr>
        <w:rFonts w:ascii="Arial" w:hAnsi="Arial" w:cs="Arial"/>
        <w:color w:val="44546A" w:themeColor="text2"/>
        <w:sz w:val="16"/>
        <w:szCs w:val="16"/>
      </w:rPr>
      <w:t>september</w:t>
    </w:r>
    <w:r w:rsidR="00F9014E">
      <w:rPr>
        <w:rFonts w:ascii="Arial" w:hAnsi="Arial" w:cs="Arial"/>
        <w:color w:val="44546A" w:themeColor="text2"/>
        <w:sz w:val="16"/>
        <w:szCs w:val="16"/>
      </w:rPr>
      <w:t xml:space="preserve"> 2021</w:t>
    </w:r>
  </w:p>
  <w:p w14:paraId="12BD584F" w14:textId="505E7157" w:rsidR="00DB5289" w:rsidRDefault="00DB5289">
    <w:pPr>
      <w:spacing w:after="0" w:line="238" w:lineRule="auto"/>
      <w:ind w:right="-17" w:firstLine="88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5A" w14:textId="77777777" w:rsidR="00DB5289" w:rsidRDefault="00DB5289">
    <w:pPr>
      <w:spacing w:after="0" w:line="238" w:lineRule="auto"/>
      <w:ind w:right="-17" w:firstLine="8812"/>
    </w:pPr>
    <w:r>
      <w:rPr>
        <w:rFonts w:ascii="Kartika" w:eastAsia="Kartika" w:hAnsi="Kartika" w:cs="Kartika"/>
        <w:color w:val="000000"/>
        <w:sz w:val="21"/>
      </w:rPr>
      <w:fldChar w:fldCharType="begin"/>
    </w:r>
    <w:r>
      <w:rPr>
        <w:rFonts w:ascii="Kartika" w:eastAsia="Kartika" w:hAnsi="Kartika" w:cs="Kartika"/>
        <w:color w:val="000000"/>
        <w:sz w:val="21"/>
      </w:rPr>
      <w:instrText xml:space="preserve"> PAGE   \* MERGEFORMAT </w:instrText>
    </w:r>
    <w:r>
      <w:rPr>
        <w:rFonts w:ascii="Kartika" w:eastAsia="Kartika" w:hAnsi="Kartika" w:cs="Kartika"/>
        <w:color w:val="000000"/>
        <w:sz w:val="21"/>
      </w:rPr>
      <w:fldChar w:fldCharType="separate"/>
    </w:r>
    <w:r>
      <w:rPr>
        <w:rFonts w:ascii="Kartika" w:eastAsia="Kartika" w:hAnsi="Kartika" w:cs="Kartika"/>
        <w:color w:val="000000"/>
        <w:sz w:val="21"/>
      </w:rPr>
      <w:t>1</w:t>
    </w:r>
    <w:r>
      <w:rPr>
        <w:rFonts w:ascii="Kartika" w:eastAsia="Kartika" w:hAnsi="Kartika" w:cs="Kartika"/>
        <w:color w:val="000000"/>
        <w:sz w:val="21"/>
      </w:rPr>
      <w:fldChar w:fldCharType="end"/>
    </w:r>
    <w:r>
      <w:rPr>
        <w:rFonts w:ascii="Kartika" w:eastAsia="Kartika" w:hAnsi="Kartika" w:cs="Kartika"/>
        <w:color w:val="000000"/>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5836" w14:textId="77777777" w:rsidR="00DB5289" w:rsidRDefault="00DB5289">
      <w:pPr>
        <w:spacing w:after="0" w:line="275" w:lineRule="auto"/>
        <w:ind w:right="0"/>
      </w:pPr>
      <w:r>
        <w:separator/>
      </w:r>
    </w:p>
  </w:footnote>
  <w:footnote w:type="continuationSeparator" w:id="0">
    <w:p w14:paraId="12BD5837" w14:textId="77777777" w:rsidR="00DB5289" w:rsidRDefault="00DB5289">
      <w:pPr>
        <w:spacing w:after="0" w:line="275" w:lineRule="auto"/>
        <w:ind w:righ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3A" w14:textId="77777777" w:rsidR="00DB5289" w:rsidRDefault="00DB5289">
    <w:pPr>
      <w:spacing w:after="0" w:line="259" w:lineRule="auto"/>
      <w:ind w:right="0"/>
    </w:pPr>
    <w:r>
      <w:rPr>
        <w:noProof/>
      </w:rPr>
      <w:drawing>
        <wp:anchor distT="0" distB="0" distL="114300" distR="114300" simplePos="0" relativeHeight="251658240" behindDoc="0" locked="0" layoutInCell="1" allowOverlap="0" wp14:anchorId="12BD585B" wp14:editId="12BD585C">
          <wp:simplePos x="0" y="0"/>
          <wp:positionH relativeFrom="page">
            <wp:posOffset>4960620</wp:posOffset>
          </wp:positionH>
          <wp:positionV relativeFrom="page">
            <wp:posOffset>388620</wp:posOffset>
          </wp:positionV>
          <wp:extent cx="1789176" cy="90982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9176" cy="909828"/>
                  </a:xfrm>
                  <a:prstGeom prst="rect">
                    <a:avLst/>
                  </a:prstGeom>
                </pic:spPr>
              </pic:pic>
            </a:graphicData>
          </a:graphic>
        </wp:anchor>
      </w:drawing>
    </w:r>
    <w:r>
      <w:rPr>
        <w:b/>
        <w:sz w:val="22"/>
      </w:rPr>
      <w:t xml:space="preserve"> </w:t>
    </w:r>
  </w:p>
  <w:p w14:paraId="12BD583B" w14:textId="77777777" w:rsidR="00DB5289" w:rsidRDefault="00DB5289">
    <w:pPr>
      <w:spacing w:after="0" w:line="259" w:lineRule="auto"/>
      <w:ind w:right="0"/>
    </w:pPr>
    <w:r>
      <w:rPr>
        <w:b/>
        <w:sz w:val="22"/>
      </w:rPr>
      <w:t xml:space="preserve"> </w:t>
    </w:r>
  </w:p>
  <w:p w14:paraId="12BD583C" w14:textId="77777777" w:rsidR="00DB5289" w:rsidRDefault="00DB5289">
    <w:pPr>
      <w:spacing w:after="4" w:line="259" w:lineRule="auto"/>
      <w:ind w:right="0"/>
    </w:pPr>
    <w:r>
      <w:rPr>
        <w:b/>
        <w:sz w:val="16"/>
      </w:rPr>
      <w:t xml:space="preserve">BIJLAGE BIJ VERGUNNINGAANVRAAG - Wft </w:t>
    </w:r>
  </w:p>
  <w:p w14:paraId="12BD583D" w14:textId="77777777" w:rsidR="00DB5289" w:rsidRDefault="00DB5289">
    <w:pPr>
      <w:spacing w:after="0" w:line="259" w:lineRule="auto"/>
      <w:ind w:right="0"/>
    </w:pPr>
    <w:r>
      <w:rPr>
        <w:i/>
        <w:color w:val="A98F00"/>
      </w:rPr>
      <w:t xml:space="preserve">Onderstaande verplicht invullen </w:t>
    </w:r>
  </w:p>
  <w:p w14:paraId="12BD583E" w14:textId="77777777" w:rsidR="00DB5289" w:rsidRDefault="00DB5289">
    <w:pPr>
      <w:spacing w:after="0" w:line="259" w:lineRule="auto"/>
      <w:ind w:right="0"/>
    </w:pPr>
    <w:r>
      <w:rPr>
        <w:b/>
      </w:rPr>
      <w:t xml:space="preserve"> </w:t>
    </w:r>
  </w:p>
  <w:p w14:paraId="12BD583F" w14:textId="77777777" w:rsidR="00DB5289" w:rsidRDefault="00DB5289">
    <w:pPr>
      <w:spacing w:after="14" w:line="259" w:lineRule="auto"/>
      <w:ind w:right="0"/>
    </w:pPr>
    <w:r>
      <w:rPr>
        <w:b/>
      </w:rPr>
      <w:t xml:space="preserve">Naam financieel dienstverlener:  </w:t>
    </w:r>
  </w:p>
  <w:p w14:paraId="12BD5840" w14:textId="77777777" w:rsidR="00DB5289" w:rsidRDefault="00DB5289">
    <w:pPr>
      <w:spacing w:after="14" w:line="259" w:lineRule="auto"/>
      <w:ind w:right="0"/>
    </w:pPr>
    <w:r>
      <w:rPr>
        <w:b/>
      </w:rPr>
      <w:t xml:space="preserve">KvK-nummer:  </w:t>
    </w:r>
  </w:p>
  <w:p w14:paraId="12BD5841" w14:textId="77777777" w:rsidR="00DB5289" w:rsidRDefault="00DB5289">
    <w:pPr>
      <w:spacing w:after="55" w:line="259" w:lineRule="auto"/>
      <w:ind w:right="0"/>
    </w:pPr>
    <w:r>
      <w:rPr>
        <w:b/>
      </w:rPr>
      <w:t xml:space="preserve">Gemaakt op: </w:t>
    </w:r>
  </w:p>
  <w:p w14:paraId="12BD5842" w14:textId="77777777" w:rsidR="00DB5289" w:rsidRDefault="00DB5289">
    <w:pPr>
      <w:spacing w:after="0" w:line="259" w:lineRule="auto"/>
      <w:ind w:right="0"/>
    </w:pPr>
    <w:r>
      <w:rPr>
        <w:rFonts w:ascii="Kartika" w:eastAsia="Kartika" w:hAnsi="Kartika" w:cs="Kartika"/>
        <w:color w:val="000000"/>
        <w:sz w:val="21"/>
      </w:rPr>
      <w:t xml:space="preserve"> </w:t>
    </w:r>
  </w:p>
  <w:p w14:paraId="12BD5843" w14:textId="77777777" w:rsidR="00DB5289" w:rsidRDefault="00DB5289">
    <w:pPr>
      <w:spacing w:after="0" w:line="259" w:lineRule="auto"/>
      <w:ind w:right="0"/>
    </w:pPr>
    <w:r>
      <w:rPr>
        <w:rFonts w:ascii="Kartika" w:eastAsia="Kartika" w:hAnsi="Kartika" w:cs="Kartika"/>
        <w:color w:val="000000"/>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44" w14:textId="40953EEC" w:rsidR="00DB5289" w:rsidRDefault="00DB5289">
    <w:pPr>
      <w:spacing w:after="0" w:line="259" w:lineRule="auto"/>
      <w:ind w:right="0"/>
    </w:pPr>
    <w:r>
      <w:rPr>
        <w:b/>
        <w:sz w:val="22"/>
      </w:rPr>
      <w:t xml:space="preserve"> </w:t>
    </w:r>
  </w:p>
  <w:p w14:paraId="12BD5845" w14:textId="00A684D5" w:rsidR="00DB5289" w:rsidRDefault="00DB5289">
    <w:pPr>
      <w:spacing w:after="0" w:line="259" w:lineRule="auto"/>
      <w:ind w:right="0"/>
    </w:pPr>
    <w:r>
      <w:rPr>
        <w:b/>
        <w:sz w:val="22"/>
      </w:rPr>
      <w:t xml:space="preserve"> </w:t>
    </w:r>
  </w:p>
  <w:p w14:paraId="12BD5846" w14:textId="389BC5AB" w:rsidR="00DB5289" w:rsidRDefault="00F07F1D">
    <w:pPr>
      <w:spacing w:after="4" w:line="259" w:lineRule="auto"/>
      <w:ind w:right="0"/>
    </w:pPr>
    <w:r>
      <w:rPr>
        <w:noProof/>
      </w:rPr>
      <w:drawing>
        <wp:anchor distT="0" distB="0" distL="114300" distR="114300" simplePos="0" relativeHeight="251661312" behindDoc="0" locked="0" layoutInCell="1" allowOverlap="1" wp14:anchorId="738D60AA" wp14:editId="4AFAF41B">
          <wp:simplePos x="0" y="0"/>
          <wp:positionH relativeFrom="margin">
            <wp:align>right</wp:align>
          </wp:positionH>
          <wp:positionV relativeFrom="paragraph">
            <wp:posOffset>10795</wp:posOffset>
          </wp:positionV>
          <wp:extent cx="2009775" cy="471805"/>
          <wp:effectExtent l="0" t="0" r="9525" b="444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09775" cy="471805"/>
                  </a:xfrm>
                  <a:prstGeom prst="rect">
                    <a:avLst/>
                  </a:prstGeom>
                </pic:spPr>
              </pic:pic>
            </a:graphicData>
          </a:graphic>
        </wp:anchor>
      </w:drawing>
    </w:r>
    <w:r w:rsidR="00DB5289">
      <w:rPr>
        <w:b/>
        <w:sz w:val="16"/>
      </w:rPr>
      <w:t xml:space="preserve">BIJLAGE BIJ VERGUNNINGAANVRAAG - Wft </w:t>
    </w:r>
  </w:p>
  <w:p w14:paraId="12BD5847" w14:textId="77777777" w:rsidR="00DB5289" w:rsidRDefault="00DB5289">
    <w:pPr>
      <w:spacing w:after="0" w:line="259" w:lineRule="auto"/>
      <w:ind w:right="0"/>
    </w:pPr>
    <w:r>
      <w:rPr>
        <w:i/>
        <w:color w:val="A98F00"/>
      </w:rPr>
      <w:t xml:space="preserve">Onderstaande verplicht invullen </w:t>
    </w:r>
  </w:p>
  <w:p w14:paraId="12BD5848" w14:textId="77777777" w:rsidR="00DB5289" w:rsidRDefault="00DB5289">
    <w:pPr>
      <w:spacing w:after="0" w:line="259" w:lineRule="auto"/>
      <w:ind w:right="0"/>
    </w:pPr>
    <w:r>
      <w:rPr>
        <w:b/>
      </w:rPr>
      <w:t xml:space="preserve"> </w:t>
    </w:r>
  </w:p>
  <w:p w14:paraId="12BD5849" w14:textId="77777777" w:rsidR="00DB5289" w:rsidRDefault="00DB5289">
    <w:pPr>
      <w:spacing w:after="14" w:line="259" w:lineRule="auto"/>
      <w:ind w:right="0"/>
    </w:pPr>
    <w:r>
      <w:rPr>
        <w:b/>
      </w:rPr>
      <w:t xml:space="preserve">Naam financieel dienstverlener:  </w:t>
    </w:r>
  </w:p>
  <w:p w14:paraId="12BD584A" w14:textId="77777777" w:rsidR="00DB5289" w:rsidRDefault="00DB5289">
    <w:pPr>
      <w:spacing w:after="14" w:line="259" w:lineRule="auto"/>
      <w:ind w:right="0"/>
    </w:pPr>
    <w:r>
      <w:rPr>
        <w:b/>
      </w:rPr>
      <w:t xml:space="preserve">KvK-nummer:  </w:t>
    </w:r>
  </w:p>
  <w:p w14:paraId="12BD584B" w14:textId="77777777" w:rsidR="00DB5289" w:rsidRDefault="00DB5289">
    <w:pPr>
      <w:spacing w:after="55" w:line="259" w:lineRule="auto"/>
      <w:ind w:right="0"/>
    </w:pPr>
    <w:r>
      <w:rPr>
        <w:b/>
      </w:rPr>
      <w:t xml:space="preserve">Gemaakt op: </w:t>
    </w:r>
  </w:p>
  <w:p w14:paraId="12BD584C" w14:textId="77777777" w:rsidR="00DB5289" w:rsidRDefault="00DB5289">
    <w:pPr>
      <w:spacing w:after="0" w:line="259" w:lineRule="auto"/>
      <w:ind w:right="0"/>
    </w:pPr>
    <w:r>
      <w:rPr>
        <w:rFonts w:ascii="Kartika" w:eastAsia="Kartika" w:hAnsi="Kartika" w:cs="Kartika"/>
        <w:color w:val="000000"/>
        <w:sz w:val="21"/>
      </w:rPr>
      <w:t xml:space="preserve"> </w:t>
    </w:r>
  </w:p>
  <w:p w14:paraId="12BD584D" w14:textId="77777777" w:rsidR="00DB5289" w:rsidRDefault="00DB5289">
    <w:pPr>
      <w:spacing w:after="0" w:line="259" w:lineRule="auto"/>
      <w:ind w:right="0"/>
    </w:pPr>
    <w:r>
      <w:rPr>
        <w:rFonts w:ascii="Kartika" w:eastAsia="Kartika" w:hAnsi="Kartika" w:cs="Kartika"/>
        <w:color w:val="000000"/>
        <w:sz w:val="21"/>
      </w:rPr>
      <w:t xml:space="preserve"> </w:t>
    </w:r>
  </w:p>
  <w:p w14:paraId="22EDE68E" w14:textId="77777777" w:rsidR="006F0EEA" w:rsidRDefault="006F0E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5850" w14:textId="77777777" w:rsidR="00DB5289" w:rsidRDefault="00DB5289">
    <w:pPr>
      <w:spacing w:after="0" w:line="259" w:lineRule="auto"/>
      <w:ind w:right="0"/>
    </w:pPr>
    <w:r>
      <w:rPr>
        <w:noProof/>
      </w:rPr>
      <w:drawing>
        <wp:anchor distT="0" distB="0" distL="114300" distR="114300" simplePos="0" relativeHeight="251660288" behindDoc="0" locked="0" layoutInCell="1" allowOverlap="0" wp14:anchorId="12BD585F" wp14:editId="12BD5860">
          <wp:simplePos x="0" y="0"/>
          <wp:positionH relativeFrom="page">
            <wp:posOffset>4960620</wp:posOffset>
          </wp:positionH>
          <wp:positionV relativeFrom="page">
            <wp:posOffset>388620</wp:posOffset>
          </wp:positionV>
          <wp:extent cx="1789176" cy="909828"/>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9176" cy="909828"/>
                  </a:xfrm>
                  <a:prstGeom prst="rect">
                    <a:avLst/>
                  </a:prstGeom>
                </pic:spPr>
              </pic:pic>
            </a:graphicData>
          </a:graphic>
        </wp:anchor>
      </w:drawing>
    </w:r>
    <w:r>
      <w:rPr>
        <w:b/>
        <w:sz w:val="22"/>
      </w:rPr>
      <w:t xml:space="preserve"> </w:t>
    </w:r>
  </w:p>
  <w:p w14:paraId="12BD5851" w14:textId="77777777" w:rsidR="00DB5289" w:rsidRDefault="00DB5289">
    <w:pPr>
      <w:spacing w:after="0" w:line="259" w:lineRule="auto"/>
      <w:ind w:right="0"/>
    </w:pPr>
    <w:r>
      <w:rPr>
        <w:b/>
        <w:sz w:val="22"/>
      </w:rPr>
      <w:t xml:space="preserve"> </w:t>
    </w:r>
  </w:p>
  <w:p w14:paraId="12BD5852" w14:textId="77777777" w:rsidR="00DB5289" w:rsidRDefault="00DB5289">
    <w:pPr>
      <w:spacing w:after="4" w:line="259" w:lineRule="auto"/>
      <w:ind w:right="0"/>
    </w:pPr>
    <w:r>
      <w:rPr>
        <w:b/>
        <w:sz w:val="16"/>
      </w:rPr>
      <w:t xml:space="preserve">BIJLAGE BIJ VERGUNNINGAANVRAAG - Wft </w:t>
    </w:r>
  </w:p>
  <w:p w14:paraId="12BD5853" w14:textId="77777777" w:rsidR="00DB5289" w:rsidRDefault="00DB5289">
    <w:pPr>
      <w:spacing w:after="0" w:line="259" w:lineRule="auto"/>
      <w:ind w:right="0"/>
    </w:pPr>
    <w:r>
      <w:rPr>
        <w:i/>
        <w:color w:val="A98F00"/>
      </w:rPr>
      <w:t xml:space="preserve">Onderstaande verplicht invullen </w:t>
    </w:r>
  </w:p>
  <w:p w14:paraId="12BD5854" w14:textId="77777777" w:rsidR="00DB5289" w:rsidRDefault="00DB5289">
    <w:pPr>
      <w:spacing w:after="0" w:line="259" w:lineRule="auto"/>
      <w:ind w:right="0"/>
    </w:pPr>
    <w:r>
      <w:rPr>
        <w:b/>
      </w:rPr>
      <w:t xml:space="preserve"> </w:t>
    </w:r>
  </w:p>
  <w:p w14:paraId="12BD5855" w14:textId="77777777" w:rsidR="00DB5289" w:rsidRDefault="00DB5289">
    <w:pPr>
      <w:spacing w:after="14" w:line="259" w:lineRule="auto"/>
      <w:ind w:right="0"/>
    </w:pPr>
    <w:r>
      <w:rPr>
        <w:b/>
      </w:rPr>
      <w:t xml:space="preserve">Naam financieel dienstverlener:  </w:t>
    </w:r>
  </w:p>
  <w:p w14:paraId="12BD5856" w14:textId="77777777" w:rsidR="00DB5289" w:rsidRDefault="00DB5289">
    <w:pPr>
      <w:spacing w:after="14" w:line="259" w:lineRule="auto"/>
      <w:ind w:right="0"/>
    </w:pPr>
    <w:r>
      <w:rPr>
        <w:b/>
      </w:rPr>
      <w:t xml:space="preserve">KvK-nummer:  </w:t>
    </w:r>
  </w:p>
  <w:p w14:paraId="12BD5857" w14:textId="77777777" w:rsidR="00DB5289" w:rsidRDefault="00DB5289">
    <w:pPr>
      <w:spacing w:after="55" w:line="259" w:lineRule="auto"/>
      <w:ind w:right="0"/>
    </w:pPr>
    <w:r>
      <w:rPr>
        <w:b/>
      </w:rPr>
      <w:t xml:space="preserve">Gemaakt op: </w:t>
    </w:r>
  </w:p>
  <w:p w14:paraId="12BD5858" w14:textId="77777777" w:rsidR="00DB5289" w:rsidRDefault="00DB5289">
    <w:pPr>
      <w:spacing w:after="0" w:line="259" w:lineRule="auto"/>
      <w:ind w:right="0"/>
    </w:pPr>
    <w:r>
      <w:rPr>
        <w:rFonts w:ascii="Kartika" w:eastAsia="Kartika" w:hAnsi="Kartika" w:cs="Kartika"/>
        <w:color w:val="000000"/>
        <w:sz w:val="21"/>
      </w:rPr>
      <w:t xml:space="preserve"> </w:t>
    </w:r>
  </w:p>
  <w:p w14:paraId="12BD5859" w14:textId="77777777" w:rsidR="00DB5289" w:rsidRDefault="00DB5289">
    <w:pPr>
      <w:spacing w:after="0" w:line="259" w:lineRule="auto"/>
      <w:ind w:right="0"/>
    </w:pPr>
    <w:r>
      <w:rPr>
        <w:rFonts w:ascii="Kartika" w:eastAsia="Kartika" w:hAnsi="Kartika" w:cs="Kartika"/>
        <w:color w:val="000000"/>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077CE"/>
    <w:multiLevelType w:val="hybridMultilevel"/>
    <w:tmpl w:val="E988A652"/>
    <w:lvl w:ilvl="0" w:tplc="26A036B8">
      <w:start w:val="1"/>
      <w:numFmt w:val="decimal"/>
      <w:lvlText w:val="%1."/>
      <w:lvlJc w:val="left"/>
      <w:pPr>
        <w:ind w:left="77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B2AC0F16">
      <w:start w:val="1"/>
      <w:numFmt w:val="bullet"/>
      <w:lvlText w:val="•"/>
      <w:lvlJc w:val="left"/>
      <w:pPr>
        <w:ind w:left="14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16CE518C">
      <w:start w:val="1"/>
      <w:numFmt w:val="bullet"/>
      <w:lvlText w:val="▪"/>
      <w:lvlJc w:val="left"/>
      <w:pPr>
        <w:ind w:left="21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C6F8A964">
      <w:start w:val="1"/>
      <w:numFmt w:val="bullet"/>
      <w:lvlText w:val="•"/>
      <w:lvlJc w:val="left"/>
      <w:pPr>
        <w:ind w:left="28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0F4079D0">
      <w:start w:val="1"/>
      <w:numFmt w:val="bullet"/>
      <w:lvlText w:val="o"/>
      <w:lvlJc w:val="left"/>
      <w:pPr>
        <w:ind w:left="36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B50623D4">
      <w:start w:val="1"/>
      <w:numFmt w:val="bullet"/>
      <w:lvlText w:val="▪"/>
      <w:lvlJc w:val="left"/>
      <w:pPr>
        <w:ind w:left="43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E826A5A2">
      <w:start w:val="1"/>
      <w:numFmt w:val="bullet"/>
      <w:lvlText w:val="•"/>
      <w:lvlJc w:val="left"/>
      <w:pPr>
        <w:ind w:left="5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B9325E0E">
      <w:start w:val="1"/>
      <w:numFmt w:val="bullet"/>
      <w:lvlText w:val="o"/>
      <w:lvlJc w:val="left"/>
      <w:pPr>
        <w:ind w:left="57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95C40AC4">
      <w:start w:val="1"/>
      <w:numFmt w:val="bullet"/>
      <w:lvlText w:val="▪"/>
      <w:lvlJc w:val="left"/>
      <w:pPr>
        <w:ind w:left="648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1" w15:restartNumberingAfterBreak="0">
    <w:nsid w:val="16F200F2"/>
    <w:multiLevelType w:val="hybridMultilevel"/>
    <w:tmpl w:val="DE24B3E4"/>
    <w:lvl w:ilvl="0" w:tplc="BE82245E">
      <w:start w:val="1"/>
      <w:numFmt w:val="bullet"/>
      <w:lvlText w:val="•"/>
      <w:lvlJc w:val="left"/>
      <w:pPr>
        <w:ind w:left="1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813AECC6">
      <w:start w:val="1"/>
      <w:numFmt w:val="bullet"/>
      <w:lvlText w:val="o"/>
      <w:lvlJc w:val="left"/>
      <w:pPr>
        <w:ind w:left="144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2" w:tplc="26109E16">
      <w:start w:val="1"/>
      <w:numFmt w:val="bullet"/>
      <w:lvlText w:val="▪"/>
      <w:lvlJc w:val="left"/>
      <w:pPr>
        <w:ind w:left="216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1AA6D754">
      <w:start w:val="1"/>
      <w:numFmt w:val="bullet"/>
      <w:lvlText w:val="•"/>
      <w:lvlJc w:val="left"/>
      <w:pPr>
        <w:ind w:left="2885"/>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4B185096">
      <w:start w:val="1"/>
      <w:numFmt w:val="bullet"/>
      <w:lvlText w:val="o"/>
      <w:lvlJc w:val="left"/>
      <w:pPr>
        <w:ind w:left="360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17E86BD6">
      <w:start w:val="1"/>
      <w:numFmt w:val="bullet"/>
      <w:lvlText w:val="▪"/>
      <w:lvlJc w:val="left"/>
      <w:pPr>
        <w:ind w:left="432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74404694">
      <w:start w:val="1"/>
      <w:numFmt w:val="bullet"/>
      <w:lvlText w:val="•"/>
      <w:lvlJc w:val="left"/>
      <w:pPr>
        <w:ind w:left="5045"/>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179AD7C4">
      <w:start w:val="1"/>
      <w:numFmt w:val="bullet"/>
      <w:lvlText w:val="o"/>
      <w:lvlJc w:val="left"/>
      <w:pPr>
        <w:ind w:left="576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18D86762">
      <w:start w:val="1"/>
      <w:numFmt w:val="bullet"/>
      <w:lvlText w:val="▪"/>
      <w:lvlJc w:val="left"/>
      <w:pPr>
        <w:ind w:left="6485"/>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2" w15:restartNumberingAfterBreak="0">
    <w:nsid w:val="21BF4B2A"/>
    <w:multiLevelType w:val="hybridMultilevel"/>
    <w:tmpl w:val="B0568792"/>
    <w:lvl w:ilvl="0" w:tplc="551C7B90">
      <w:start w:val="1"/>
      <w:numFmt w:val="low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25D0542A"/>
    <w:multiLevelType w:val="hybridMultilevel"/>
    <w:tmpl w:val="23C48856"/>
    <w:lvl w:ilvl="0" w:tplc="D41A7BD8">
      <w:start w:val="4"/>
      <w:numFmt w:val="decimal"/>
      <w:lvlText w:val="%1."/>
      <w:lvlJc w:val="left"/>
      <w:pPr>
        <w:ind w:left="70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78BEA7A2">
      <w:start w:val="1"/>
      <w:numFmt w:val="lowerLetter"/>
      <w:lvlText w:val="%2."/>
      <w:lvlJc w:val="left"/>
      <w:pPr>
        <w:ind w:left="10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5D18CD4E">
      <w:start w:val="1"/>
      <w:numFmt w:val="lowerRoman"/>
      <w:lvlText w:val="%3."/>
      <w:lvlJc w:val="left"/>
      <w:pPr>
        <w:ind w:left="1009"/>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3" w:tplc="C4465546">
      <w:start w:val="1"/>
      <w:numFmt w:val="decimal"/>
      <w:lvlText w:val="%4"/>
      <w:lvlJc w:val="left"/>
      <w:pPr>
        <w:ind w:left="20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C25E3B46">
      <w:start w:val="1"/>
      <w:numFmt w:val="lowerLetter"/>
      <w:lvlText w:val="%5"/>
      <w:lvlJc w:val="left"/>
      <w:pPr>
        <w:ind w:left="27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5" w:tplc="7DE2AD12">
      <w:start w:val="1"/>
      <w:numFmt w:val="lowerRoman"/>
      <w:lvlText w:val="%6"/>
      <w:lvlJc w:val="left"/>
      <w:pPr>
        <w:ind w:left="350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6" w:tplc="02AE27DC">
      <w:start w:val="1"/>
      <w:numFmt w:val="decimal"/>
      <w:lvlText w:val="%7"/>
      <w:lvlJc w:val="left"/>
      <w:pPr>
        <w:ind w:left="422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A61863A0">
      <w:start w:val="1"/>
      <w:numFmt w:val="lowerLetter"/>
      <w:lvlText w:val="%8"/>
      <w:lvlJc w:val="left"/>
      <w:pPr>
        <w:ind w:left="49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8" w:tplc="73A60498">
      <w:start w:val="1"/>
      <w:numFmt w:val="lowerRoman"/>
      <w:lvlText w:val="%9"/>
      <w:lvlJc w:val="left"/>
      <w:pPr>
        <w:ind w:left="56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abstractNum>
  <w:abstractNum w:abstractNumId="4" w15:restartNumberingAfterBreak="0">
    <w:nsid w:val="27AD4814"/>
    <w:multiLevelType w:val="hybridMultilevel"/>
    <w:tmpl w:val="0E16DF88"/>
    <w:lvl w:ilvl="0" w:tplc="B13260EE">
      <w:start w:val="1"/>
      <w:numFmt w:val="low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313910C1"/>
    <w:multiLevelType w:val="hybridMultilevel"/>
    <w:tmpl w:val="C6A68C64"/>
    <w:lvl w:ilvl="0" w:tplc="70A61B16">
      <w:start w:val="1"/>
      <w:numFmt w:val="decimal"/>
      <w:lvlText w:val="%1."/>
      <w:lvlJc w:val="left"/>
      <w:pPr>
        <w:ind w:left="746"/>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9D681E5E">
      <w:start w:val="1"/>
      <w:numFmt w:val="bullet"/>
      <w:lvlText w:val="•"/>
      <w:lvlJc w:val="left"/>
      <w:pPr>
        <w:ind w:left="1493"/>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66FE8196">
      <w:start w:val="1"/>
      <w:numFmt w:val="bullet"/>
      <w:lvlText w:val="▪"/>
      <w:lvlJc w:val="left"/>
      <w:pPr>
        <w:ind w:left="214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F918B5B6">
      <w:start w:val="1"/>
      <w:numFmt w:val="bullet"/>
      <w:lvlText w:val="•"/>
      <w:lvlJc w:val="left"/>
      <w:pPr>
        <w:ind w:left="2868"/>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9200B4C6">
      <w:start w:val="1"/>
      <w:numFmt w:val="bullet"/>
      <w:lvlText w:val="o"/>
      <w:lvlJc w:val="left"/>
      <w:pPr>
        <w:ind w:left="358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91C0F720">
      <w:start w:val="1"/>
      <w:numFmt w:val="bullet"/>
      <w:lvlText w:val="▪"/>
      <w:lvlJc w:val="left"/>
      <w:pPr>
        <w:ind w:left="430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4364C000">
      <w:start w:val="1"/>
      <w:numFmt w:val="bullet"/>
      <w:lvlText w:val="•"/>
      <w:lvlJc w:val="left"/>
      <w:pPr>
        <w:ind w:left="5028"/>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61D46714">
      <w:start w:val="1"/>
      <w:numFmt w:val="bullet"/>
      <w:lvlText w:val="o"/>
      <w:lvlJc w:val="left"/>
      <w:pPr>
        <w:ind w:left="574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E7DC7C80">
      <w:start w:val="1"/>
      <w:numFmt w:val="bullet"/>
      <w:lvlText w:val="▪"/>
      <w:lvlJc w:val="left"/>
      <w:pPr>
        <w:ind w:left="6468"/>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6" w15:restartNumberingAfterBreak="0">
    <w:nsid w:val="3F415E4F"/>
    <w:multiLevelType w:val="hybridMultilevel"/>
    <w:tmpl w:val="7A92B1C2"/>
    <w:lvl w:ilvl="0" w:tplc="D9DEC894">
      <w:start w:val="1"/>
      <w:numFmt w:val="decimal"/>
      <w:lvlText w:val="%1."/>
      <w:lvlJc w:val="left"/>
      <w:pPr>
        <w:ind w:left="705"/>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8FCAAA0E">
      <w:start w:val="1"/>
      <w:numFmt w:val="lowerLetter"/>
      <w:lvlText w:val="%2"/>
      <w:lvlJc w:val="left"/>
      <w:pPr>
        <w:ind w:left="14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2" w:tplc="8D2432EE">
      <w:start w:val="1"/>
      <w:numFmt w:val="lowerRoman"/>
      <w:lvlText w:val="%3"/>
      <w:lvlJc w:val="left"/>
      <w:pPr>
        <w:ind w:left="21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3" w:tplc="5E28931A">
      <w:start w:val="1"/>
      <w:numFmt w:val="decimal"/>
      <w:lvlText w:val="%4"/>
      <w:lvlJc w:val="left"/>
      <w:pPr>
        <w:ind w:left="28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4" w:tplc="DE089052">
      <w:start w:val="1"/>
      <w:numFmt w:val="lowerLetter"/>
      <w:lvlText w:val="%5"/>
      <w:lvlJc w:val="left"/>
      <w:pPr>
        <w:ind w:left="360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5" w:tplc="20582CB2">
      <w:start w:val="1"/>
      <w:numFmt w:val="lowerRoman"/>
      <w:lvlText w:val="%6"/>
      <w:lvlJc w:val="left"/>
      <w:pPr>
        <w:ind w:left="432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6" w:tplc="27321BB0">
      <w:start w:val="1"/>
      <w:numFmt w:val="decimal"/>
      <w:lvlText w:val="%7"/>
      <w:lvlJc w:val="left"/>
      <w:pPr>
        <w:ind w:left="50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7" w:tplc="A27C05A4">
      <w:start w:val="1"/>
      <w:numFmt w:val="lowerLetter"/>
      <w:lvlText w:val="%8"/>
      <w:lvlJc w:val="left"/>
      <w:pPr>
        <w:ind w:left="57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8" w:tplc="C030A444">
      <w:start w:val="1"/>
      <w:numFmt w:val="lowerRoman"/>
      <w:lvlText w:val="%9"/>
      <w:lvlJc w:val="left"/>
      <w:pPr>
        <w:ind w:left="64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abstractNum>
  <w:abstractNum w:abstractNumId="7" w15:restartNumberingAfterBreak="0">
    <w:nsid w:val="51E1741B"/>
    <w:multiLevelType w:val="hybridMultilevel"/>
    <w:tmpl w:val="DDF49E3E"/>
    <w:lvl w:ilvl="0" w:tplc="3B626BDC">
      <w:start w:val="1"/>
      <w:numFmt w:val="decimal"/>
      <w:lvlText w:val="%1."/>
      <w:lvlJc w:val="left"/>
      <w:pPr>
        <w:ind w:left="746"/>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5B2C2092">
      <w:start w:val="1"/>
      <w:numFmt w:val="bullet"/>
      <w:lvlText w:val="•"/>
      <w:lvlJc w:val="left"/>
      <w:pPr>
        <w:ind w:left="14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2" w:tplc="011019B4">
      <w:start w:val="1"/>
      <w:numFmt w:val="bullet"/>
      <w:lvlText w:val="▪"/>
      <w:lvlJc w:val="left"/>
      <w:pPr>
        <w:ind w:left="18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5840EEDA">
      <w:start w:val="1"/>
      <w:numFmt w:val="bullet"/>
      <w:lvlText w:val="•"/>
      <w:lvlJc w:val="left"/>
      <w:pPr>
        <w:ind w:left="252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B1F82212">
      <w:start w:val="1"/>
      <w:numFmt w:val="bullet"/>
      <w:lvlText w:val="o"/>
      <w:lvlJc w:val="left"/>
      <w:pPr>
        <w:ind w:left="324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60F05D2C">
      <w:start w:val="1"/>
      <w:numFmt w:val="bullet"/>
      <w:lvlText w:val="▪"/>
      <w:lvlJc w:val="left"/>
      <w:pPr>
        <w:ind w:left="39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E62CBE66">
      <w:start w:val="1"/>
      <w:numFmt w:val="bullet"/>
      <w:lvlText w:val="•"/>
      <w:lvlJc w:val="left"/>
      <w:pPr>
        <w:ind w:left="46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FA30B0DA">
      <w:start w:val="1"/>
      <w:numFmt w:val="bullet"/>
      <w:lvlText w:val="o"/>
      <w:lvlJc w:val="left"/>
      <w:pPr>
        <w:ind w:left="54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45D21CBA">
      <w:start w:val="1"/>
      <w:numFmt w:val="bullet"/>
      <w:lvlText w:val="▪"/>
      <w:lvlJc w:val="left"/>
      <w:pPr>
        <w:ind w:left="61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8" w15:restartNumberingAfterBreak="0">
    <w:nsid w:val="59461BF8"/>
    <w:multiLevelType w:val="hybridMultilevel"/>
    <w:tmpl w:val="7D3CEA1E"/>
    <w:lvl w:ilvl="0" w:tplc="33F00F8C">
      <w:start w:val="1"/>
      <w:numFmt w:val="bullet"/>
      <w:lvlText w:val="•"/>
      <w:lvlJc w:val="left"/>
      <w:pPr>
        <w:ind w:left="10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D9206202">
      <w:start w:val="1"/>
      <w:numFmt w:val="bullet"/>
      <w:lvlText w:val="o"/>
      <w:lvlJc w:val="left"/>
      <w:pPr>
        <w:ind w:left="144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2" w:tplc="3FDAD9D4">
      <w:start w:val="1"/>
      <w:numFmt w:val="bullet"/>
      <w:lvlText w:val="▪"/>
      <w:lvlJc w:val="left"/>
      <w:pPr>
        <w:ind w:left="21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3" w:tplc="4288D07A">
      <w:start w:val="1"/>
      <w:numFmt w:val="bullet"/>
      <w:lvlText w:val="•"/>
      <w:lvlJc w:val="left"/>
      <w:pPr>
        <w:ind w:left="288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4" w:tplc="944CC3A8">
      <w:start w:val="1"/>
      <w:numFmt w:val="bullet"/>
      <w:lvlText w:val="o"/>
      <w:lvlJc w:val="left"/>
      <w:pPr>
        <w:ind w:left="360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5" w:tplc="B02C2CE8">
      <w:start w:val="1"/>
      <w:numFmt w:val="bullet"/>
      <w:lvlText w:val="▪"/>
      <w:lvlJc w:val="left"/>
      <w:pPr>
        <w:ind w:left="432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6" w:tplc="2AAC86EC">
      <w:start w:val="1"/>
      <w:numFmt w:val="bullet"/>
      <w:lvlText w:val="•"/>
      <w:lvlJc w:val="left"/>
      <w:pPr>
        <w:ind w:left="504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7" w:tplc="A3904848">
      <w:start w:val="1"/>
      <w:numFmt w:val="bullet"/>
      <w:lvlText w:val="o"/>
      <w:lvlJc w:val="left"/>
      <w:pPr>
        <w:ind w:left="576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lvl w:ilvl="8" w:tplc="5B846996">
      <w:start w:val="1"/>
      <w:numFmt w:val="bullet"/>
      <w:lvlText w:val="▪"/>
      <w:lvlJc w:val="left"/>
      <w:pPr>
        <w:ind w:left="6480"/>
      </w:pPr>
      <w:rPr>
        <w:rFonts w:ascii="Segoe UI Symbol" w:eastAsia="Segoe UI Symbol" w:hAnsi="Segoe UI Symbol" w:cs="Segoe UI Symbol"/>
        <w:b w:val="0"/>
        <w:i w:val="0"/>
        <w:strike w:val="0"/>
        <w:dstrike w:val="0"/>
        <w:color w:val="330066"/>
        <w:sz w:val="18"/>
        <w:szCs w:val="18"/>
        <w:u w:val="none" w:color="000000"/>
        <w:bdr w:val="none" w:sz="0" w:space="0" w:color="auto"/>
        <w:shd w:val="clear" w:color="auto" w:fill="auto"/>
        <w:vertAlign w:val="baseline"/>
      </w:rPr>
    </w:lvl>
  </w:abstractNum>
  <w:abstractNum w:abstractNumId="9" w15:restartNumberingAfterBreak="0">
    <w:nsid w:val="5BCC7CB0"/>
    <w:multiLevelType w:val="hybridMultilevel"/>
    <w:tmpl w:val="58E0093A"/>
    <w:lvl w:ilvl="0" w:tplc="3C6AFF94">
      <w:start w:val="1"/>
      <w:numFmt w:val="decimal"/>
      <w:lvlText w:val="%1."/>
      <w:lvlJc w:val="left"/>
      <w:pPr>
        <w:ind w:left="10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1" w:tplc="8FF29E5E">
      <w:start w:val="1"/>
      <w:numFmt w:val="lowerLetter"/>
      <w:lvlText w:val="%2"/>
      <w:lvlJc w:val="left"/>
      <w:pPr>
        <w:ind w:left="14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2" w:tplc="03DC7800">
      <w:start w:val="1"/>
      <w:numFmt w:val="lowerRoman"/>
      <w:lvlText w:val="%3"/>
      <w:lvlJc w:val="left"/>
      <w:pPr>
        <w:ind w:left="21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3" w:tplc="353488E0">
      <w:start w:val="1"/>
      <w:numFmt w:val="decimal"/>
      <w:lvlText w:val="%4"/>
      <w:lvlJc w:val="left"/>
      <w:pPr>
        <w:ind w:left="28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4" w:tplc="A44ED2FA">
      <w:start w:val="1"/>
      <w:numFmt w:val="lowerLetter"/>
      <w:lvlText w:val="%5"/>
      <w:lvlJc w:val="left"/>
      <w:pPr>
        <w:ind w:left="360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5" w:tplc="5D805212">
      <w:start w:val="1"/>
      <w:numFmt w:val="lowerRoman"/>
      <w:lvlText w:val="%6"/>
      <w:lvlJc w:val="left"/>
      <w:pPr>
        <w:ind w:left="432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6" w:tplc="D6FE7572">
      <w:start w:val="1"/>
      <w:numFmt w:val="decimal"/>
      <w:lvlText w:val="%7"/>
      <w:lvlJc w:val="left"/>
      <w:pPr>
        <w:ind w:left="504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7" w:tplc="070EF452">
      <w:start w:val="1"/>
      <w:numFmt w:val="lowerLetter"/>
      <w:lvlText w:val="%8"/>
      <w:lvlJc w:val="left"/>
      <w:pPr>
        <w:ind w:left="576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lvl w:ilvl="8" w:tplc="A1DACD86">
      <w:start w:val="1"/>
      <w:numFmt w:val="lowerRoman"/>
      <w:lvlText w:val="%9"/>
      <w:lvlJc w:val="left"/>
      <w:pPr>
        <w:ind w:left="6480"/>
      </w:pPr>
      <w:rPr>
        <w:rFonts w:ascii="Arial" w:eastAsia="Arial" w:hAnsi="Arial" w:cs="Arial"/>
        <w:b/>
        <w:bCs/>
        <w:i w:val="0"/>
        <w:strike w:val="0"/>
        <w:dstrike w:val="0"/>
        <w:color w:val="330066"/>
        <w:sz w:val="18"/>
        <w:szCs w:val="18"/>
        <w:u w:val="none" w:color="000000"/>
        <w:bdr w:val="none" w:sz="0" w:space="0" w:color="auto"/>
        <w:shd w:val="clear" w:color="auto" w:fill="auto"/>
        <w:vertAlign w:val="baseline"/>
      </w:rPr>
    </w:lvl>
  </w:abstractNum>
  <w:abstractNum w:abstractNumId="10" w15:restartNumberingAfterBreak="0">
    <w:nsid w:val="647B1C71"/>
    <w:multiLevelType w:val="hybridMultilevel"/>
    <w:tmpl w:val="B86CA336"/>
    <w:lvl w:ilvl="0" w:tplc="F68E4B62">
      <w:start w:val="1"/>
      <w:numFmt w:val="lowerRoman"/>
      <w:lvlText w:val="%1."/>
      <w:lvlJc w:val="left"/>
      <w:pPr>
        <w:ind w:left="1800" w:hanging="3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70873BA4"/>
    <w:multiLevelType w:val="hybridMultilevel"/>
    <w:tmpl w:val="68C6EEB8"/>
    <w:lvl w:ilvl="0" w:tplc="7DE2AD12">
      <w:start w:val="1"/>
      <w:numFmt w:val="lowerRoman"/>
      <w:lvlText w:val="%1"/>
      <w:lvlJc w:val="left"/>
      <w:pPr>
        <w:ind w:left="2160" w:hanging="360"/>
      </w:pPr>
      <w:rPr>
        <w:rFonts w:ascii="Arial" w:eastAsia="Arial" w:hAnsi="Arial" w:cs="Arial"/>
        <w:b w:val="0"/>
        <w:i w:val="0"/>
        <w:strike w:val="0"/>
        <w:dstrike w:val="0"/>
        <w:color w:val="330066"/>
        <w:sz w:val="18"/>
        <w:szCs w:val="18"/>
        <w:u w:val="none" w:color="000000"/>
        <w:bdr w:val="none" w:sz="0" w:space="0" w:color="auto"/>
        <w:shd w:val="clear" w:color="auto" w:fill="auto"/>
        <w:vertAlign w:val="baseline"/>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15:restartNumberingAfterBreak="0">
    <w:nsid w:val="720B5DE8"/>
    <w:multiLevelType w:val="hybridMultilevel"/>
    <w:tmpl w:val="A1AE3F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0"/>
  </w:num>
  <w:num w:numId="5">
    <w:abstractNumId w:val="5"/>
  </w:num>
  <w:num w:numId="6">
    <w:abstractNumId w:val="7"/>
  </w:num>
  <w:num w:numId="7">
    <w:abstractNumId w:val="6"/>
  </w:num>
  <w:num w:numId="8">
    <w:abstractNumId w:val="3"/>
  </w:num>
  <w:num w:numId="9">
    <w:abstractNumId w:val="10"/>
  </w:num>
  <w:num w:numId="10">
    <w:abstractNumId w:val="1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98"/>
    <w:rsid w:val="001C792C"/>
    <w:rsid w:val="002F2E98"/>
    <w:rsid w:val="00391F0F"/>
    <w:rsid w:val="003927A6"/>
    <w:rsid w:val="00406D31"/>
    <w:rsid w:val="004A343F"/>
    <w:rsid w:val="005E694D"/>
    <w:rsid w:val="006F0EEA"/>
    <w:rsid w:val="007143BD"/>
    <w:rsid w:val="007462E2"/>
    <w:rsid w:val="007B32C2"/>
    <w:rsid w:val="008737CB"/>
    <w:rsid w:val="00894DF5"/>
    <w:rsid w:val="00903074"/>
    <w:rsid w:val="009F4A50"/>
    <w:rsid w:val="00AC7D92"/>
    <w:rsid w:val="00AD40E7"/>
    <w:rsid w:val="00B326AE"/>
    <w:rsid w:val="00BA134E"/>
    <w:rsid w:val="00BC1A66"/>
    <w:rsid w:val="00CA375D"/>
    <w:rsid w:val="00CB1FEA"/>
    <w:rsid w:val="00CB68E7"/>
    <w:rsid w:val="00D63CA6"/>
    <w:rsid w:val="00D94F05"/>
    <w:rsid w:val="00DB5289"/>
    <w:rsid w:val="00EB2525"/>
    <w:rsid w:val="00ED01EC"/>
    <w:rsid w:val="00F07F1D"/>
    <w:rsid w:val="00F37C71"/>
    <w:rsid w:val="00F901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D5662"/>
  <w15:docId w15:val="{63A00B73-529B-4C0A-A3A1-C236A9E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60" w:right="20"/>
    </w:pPr>
    <w:rPr>
      <w:rFonts w:ascii="Arial" w:eastAsia="Arial" w:hAnsi="Arial" w:cs="Arial"/>
      <w:color w:val="330066"/>
      <w:sz w:val="18"/>
    </w:rPr>
  </w:style>
  <w:style w:type="paragraph" w:styleId="Heading1">
    <w:name w:val="heading 1"/>
    <w:next w:val="Normal"/>
    <w:link w:val="Heading1Char"/>
    <w:uiPriority w:val="9"/>
    <w:unhideWhenUsed/>
    <w:qFormat/>
    <w:pPr>
      <w:keepNext/>
      <w:keepLines/>
      <w:spacing w:after="201"/>
      <w:ind w:left="370" w:hanging="10"/>
      <w:outlineLvl w:val="0"/>
    </w:pPr>
    <w:rPr>
      <w:rFonts w:ascii="Arial" w:eastAsia="Arial" w:hAnsi="Arial" w:cs="Arial"/>
      <w:b/>
      <w:color w:val="A98F00"/>
      <w:sz w:val="24"/>
    </w:rPr>
  </w:style>
  <w:style w:type="paragraph" w:styleId="Heading2">
    <w:name w:val="heading 2"/>
    <w:next w:val="Normal"/>
    <w:link w:val="Heading2Char"/>
    <w:uiPriority w:val="9"/>
    <w:unhideWhenUsed/>
    <w:qFormat/>
    <w:pPr>
      <w:keepNext/>
      <w:keepLines/>
      <w:spacing w:after="115"/>
      <w:ind w:left="360"/>
      <w:outlineLvl w:val="1"/>
    </w:pPr>
    <w:rPr>
      <w:rFonts w:ascii="Arial" w:eastAsia="Arial" w:hAnsi="Arial" w:cs="Arial"/>
      <w:b/>
      <w:i/>
      <w:color w:val="3300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330066"/>
      <w:sz w:val="20"/>
    </w:rPr>
  </w:style>
  <w:style w:type="character" w:customStyle="1" w:styleId="Heading1Char">
    <w:name w:val="Heading 1 Char"/>
    <w:link w:val="Heading1"/>
    <w:rPr>
      <w:rFonts w:ascii="Arial" w:eastAsia="Arial" w:hAnsi="Arial" w:cs="Arial"/>
      <w:b/>
      <w:color w:val="A98F00"/>
      <w:sz w:val="24"/>
    </w:rPr>
  </w:style>
  <w:style w:type="paragraph" w:customStyle="1" w:styleId="footnotedescription">
    <w:name w:val="footnote description"/>
    <w:next w:val="Normal"/>
    <w:link w:val="footnotedescriptionChar"/>
    <w:hidden/>
    <w:pPr>
      <w:spacing w:after="0" w:line="312" w:lineRule="auto"/>
      <w:ind w:left="360"/>
    </w:pPr>
    <w:rPr>
      <w:rFonts w:ascii="Arial" w:eastAsia="Arial" w:hAnsi="Arial" w:cs="Arial"/>
      <w:color w:val="330066"/>
      <w:sz w:val="16"/>
    </w:rPr>
  </w:style>
  <w:style w:type="character" w:customStyle="1" w:styleId="footnotedescriptionChar">
    <w:name w:val="footnote description Char"/>
    <w:link w:val="footnotedescription"/>
    <w:rPr>
      <w:rFonts w:ascii="Arial" w:eastAsia="Arial" w:hAnsi="Arial" w:cs="Arial"/>
      <w:color w:val="330066"/>
      <w:sz w:val="16"/>
    </w:rPr>
  </w:style>
  <w:style w:type="character" w:customStyle="1" w:styleId="footnotemark">
    <w:name w:val="footnote mark"/>
    <w:hidden/>
    <w:rPr>
      <w:rFonts w:ascii="Arial" w:eastAsia="Arial" w:hAnsi="Arial" w:cs="Arial"/>
      <w:color w:val="330066"/>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1A6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C1A66"/>
    <w:rPr>
      <w:rFonts w:ascii="Segoe UI" w:eastAsia="Arial" w:hAnsi="Segoe UI" w:cs="Segoe UI"/>
      <w:color w:val="330066"/>
      <w:sz w:val="18"/>
      <w:szCs w:val="18"/>
    </w:rPr>
  </w:style>
  <w:style w:type="character" w:styleId="CommentReference">
    <w:name w:val="annotation reference"/>
    <w:basedOn w:val="DefaultParagraphFont"/>
    <w:uiPriority w:val="99"/>
    <w:semiHidden/>
    <w:unhideWhenUsed/>
    <w:rsid w:val="00D94F05"/>
    <w:rPr>
      <w:sz w:val="16"/>
      <w:szCs w:val="16"/>
    </w:rPr>
  </w:style>
  <w:style w:type="paragraph" w:styleId="CommentText">
    <w:name w:val="annotation text"/>
    <w:basedOn w:val="Normal"/>
    <w:link w:val="CommentTextChar"/>
    <w:uiPriority w:val="99"/>
    <w:semiHidden/>
    <w:unhideWhenUsed/>
    <w:rsid w:val="00D94F05"/>
    <w:pPr>
      <w:spacing w:line="240" w:lineRule="auto"/>
    </w:pPr>
    <w:rPr>
      <w:sz w:val="20"/>
      <w:szCs w:val="20"/>
    </w:rPr>
  </w:style>
  <w:style w:type="character" w:customStyle="1" w:styleId="CommentTextChar">
    <w:name w:val="Comment Text Char"/>
    <w:basedOn w:val="DefaultParagraphFont"/>
    <w:link w:val="CommentText"/>
    <w:uiPriority w:val="99"/>
    <w:semiHidden/>
    <w:rsid w:val="00D94F05"/>
    <w:rPr>
      <w:rFonts w:ascii="Arial" w:eastAsia="Arial" w:hAnsi="Arial" w:cs="Arial"/>
      <w:color w:val="330066"/>
      <w:sz w:val="20"/>
      <w:szCs w:val="20"/>
    </w:rPr>
  </w:style>
  <w:style w:type="paragraph" w:styleId="CommentSubject">
    <w:name w:val="annotation subject"/>
    <w:basedOn w:val="CommentText"/>
    <w:next w:val="CommentText"/>
    <w:link w:val="CommentSubjectChar"/>
    <w:uiPriority w:val="99"/>
    <w:semiHidden/>
    <w:unhideWhenUsed/>
    <w:rsid w:val="00D94F05"/>
    <w:rPr>
      <w:b/>
      <w:bCs/>
    </w:rPr>
  </w:style>
  <w:style w:type="character" w:customStyle="1" w:styleId="CommentSubjectChar">
    <w:name w:val="Comment Subject Char"/>
    <w:basedOn w:val="CommentTextChar"/>
    <w:link w:val="CommentSubject"/>
    <w:uiPriority w:val="99"/>
    <w:semiHidden/>
    <w:rsid w:val="00D94F05"/>
    <w:rPr>
      <w:rFonts w:ascii="Arial" w:eastAsia="Arial" w:hAnsi="Arial" w:cs="Arial"/>
      <w:b/>
      <w:bCs/>
      <w:color w:val="330066"/>
      <w:sz w:val="20"/>
      <w:szCs w:val="20"/>
    </w:rPr>
  </w:style>
  <w:style w:type="paragraph" w:styleId="ListParagraph">
    <w:name w:val="List Paragraph"/>
    <w:basedOn w:val="Normal"/>
    <w:uiPriority w:val="34"/>
    <w:qFormat/>
    <w:rsid w:val="00D94F05"/>
    <w:pPr>
      <w:ind w:left="720"/>
      <w:contextualSpacing/>
    </w:pPr>
  </w:style>
  <w:style w:type="paragraph" w:styleId="Footer">
    <w:name w:val="footer"/>
    <w:basedOn w:val="Normal"/>
    <w:link w:val="FooterChar"/>
    <w:uiPriority w:val="99"/>
    <w:unhideWhenUsed/>
    <w:rsid w:val="00894DF5"/>
    <w:pPr>
      <w:tabs>
        <w:tab w:val="center" w:pos="4680"/>
        <w:tab w:val="right" w:pos="9360"/>
      </w:tabs>
      <w:spacing w:after="0" w:line="240" w:lineRule="auto"/>
      <w:ind w:left="0" w:right="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94D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AFMDOC-129-12096</_dlc_DocId>
    <_dlc_DocIdUrl xmlns="dd62d345-e1f9-48ef-b6ff-7cdbbbf7a6ae">
      <Url>https://dms.stelan.nl/bedrijfsvoering/_layouts/15/DocIdRedir.aspx?ID=AFMDOC-129-12096</Url>
      <Description>AFMDOC-129-12096</Description>
    </_dlc_DocIdUrl>
  </documentManagement>
</p:properties>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BEB8-70EF-466F-932B-B036C94001F4}">
  <ds:schemaRefs>
    <ds:schemaRef ds:uri="office.server.policy"/>
  </ds:schemaRefs>
</ds:datastoreItem>
</file>

<file path=customXml/itemProps2.xml><?xml version="1.0" encoding="utf-8"?>
<ds:datastoreItem xmlns:ds="http://schemas.openxmlformats.org/officeDocument/2006/customXml" ds:itemID="{CB023E53-AC1C-401B-BCF6-71000A9C26B5}">
  <ds:schemaRef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63132b-4ebf-45ff-bece-f1cd0400eedc"/>
    <ds:schemaRef ds:uri="http://www.w3.org/XML/1998/namespace"/>
    <ds:schemaRef ds:uri="http://purl.org/dc/dcmitype/"/>
  </ds:schemaRefs>
</ds:datastoreItem>
</file>

<file path=customXml/itemProps3.xml><?xml version="1.0" encoding="utf-8"?>
<ds:datastoreItem xmlns:ds="http://schemas.openxmlformats.org/officeDocument/2006/customXml" ds:itemID="{F880E0A9-D68A-4DEF-9610-FA026E004238}">
  <ds:schemaRefs>
    <ds:schemaRef ds:uri="Microsoft.SharePoint.Taxonomy.ContentTypeSync"/>
  </ds:schemaRefs>
</ds:datastoreItem>
</file>

<file path=customXml/itemProps4.xml><?xml version="1.0" encoding="utf-8"?>
<ds:datastoreItem xmlns:ds="http://schemas.openxmlformats.org/officeDocument/2006/customXml" ds:itemID="{ED28E8FF-0406-462E-8FF1-E3FE00314837}"/>
</file>

<file path=customXml/itemProps5.xml><?xml version="1.0" encoding="utf-8"?>
<ds:datastoreItem xmlns:ds="http://schemas.openxmlformats.org/officeDocument/2006/customXml" ds:itemID="{679EBD11-2B3C-497C-9F61-4A0C6662C0D3}">
  <ds:schemaRefs>
    <ds:schemaRef ds:uri="http://schemas.openxmlformats.org/officeDocument/2006/bibliography"/>
  </ds:schemaRefs>
</ds:datastoreItem>
</file>

<file path=customXml/itemProps6.xml><?xml version="1.0" encoding="utf-8"?>
<ds:datastoreItem xmlns:ds="http://schemas.openxmlformats.org/officeDocument/2006/customXml" ds:itemID="{8B43206E-B057-405F-9A2E-F9607F0F9BFF}">
  <ds:schemaRefs>
    <ds:schemaRef ds:uri="http://schemas.microsoft.com/sharepoint/events"/>
  </ds:schemaRefs>
</ds:datastoreItem>
</file>

<file path=customXml/itemProps7.xml><?xml version="1.0" encoding="utf-8"?>
<ds:datastoreItem xmlns:ds="http://schemas.openxmlformats.org/officeDocument/2006/customXml" ds:itemID="{779F5775-A277-4957-BCAD-58C564578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Beschrijving bedrijfsprocessen</vt:lpstr>
    </vt:vector>
  </TitlesOfParts>
  <Company>Autoriteit Financiële Markten</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Beschrijving bedrijfsprocessen</dc:title>
  <dc:subject/>
  <dc:creator>kampw</dc:creator>
  <cp:keywords/>
  <cp:lastModifiedBy>Kreuger, Eva</cp:lastModifiedBy>
  <cp:revision>6</cp:revision>
  <dcterms:created xsi:type="dcterms:W3CDTF">2021-06-10T09:30:00Z</dcterms:created>
  <dcterms:modified xsi:type="dcterms:W3CDTF">2021-08-31T06:34:00Z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DocIdItemGuid">
    <vt:lpwstr>1ecb0e40-3da3-4d7f-8e81-f9b393384d0f</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ProcesHTField0">
    <vt:lpwstr/>
  </property>
  <property fmtid="{D5CDD505-2E9C-101B-9397-08002B2CF9AE}" pid="11" name="OrganisatieonderdeelHTField0">
    <vt:lpwstr/>
  </property>
  <property fmtid="{D5CDD505-2E9C-101B-9397-08002B2CF9AE}" pid="12" name="_dlc_DocId">
    <vt:lpwstr>AFMAFD-122-1533</vt:lpwstr>
  </property>
  <property fmtid="{D5CDD505-2E9C-101B-9397-08002B2CF9AE}" pid="13" name="DocumenttypeHTField0">
    <vt:lpwstr/>
  </property>
  <property fmtid="{D5CDD505-2E9C-101B-9397-08002B2CF9AE}" pid="14" name="KanaalHTField0">
    <vt:lpwstr/>
  </property>
  <property fmtid="{D5CDD505-2E9C-101B-9397-08002B2CF9AE}" pid="15" name="_dlc_DocIdUrl">
    <vt:lpwstr>http://dms.stelan.nl/sites/Afdelingen/tsc/_layouts/15/DocIdRedir.aspx?ID=AFMAFD-122-1533AFMAFD-122-1533</vt:lpwstr>
  </property>
  <property fmtid="{D5CDD505-2E9C-101B-9397-08002B2CF9AE}" pid="16" name="TaxKeywordTaxHTField">
    <vt:lpwstr/>
  </property>
  <property fmtid="{D5CDD505-2E9C-101B-9397-08002B2CF9AE}" pid="17" name="ToezichtstaakHTField0">
    <vt:lpwstr/>
  </property>
  <property fmtid="{D5CDD505-2E9C-101B-9397-08002B2CF9AE}" pid="18" name="DossierstatusTaxHTField0">
    <vt:lpwstr/>
  </property>
  <property fmtid="{D5CDD505-2E9C-101B-9397-08002B2CF9AE}" pid="19" name="Domein">
    <vt:lpwstr/>
  </property>
  <property fmtid="{D5CDD505-2E9C-101B-9397-08002B2CF9AE}" pid="20" name="Zaaktype">
    <vt:lpwstr/>
  </property>
  <property fmtid="{D5CDD505-2E9C-101B-9397-08002B2CF9AE}" pid="21" name="WetsartikelRegelingTaxHTField0">
    <vt:lpwstr/>
  </property>
  <property fmtid="{D5CDD505-2E9C-101B-9397-08002B2CF9AE}" pid="22" name="WetsartikelLidTaxHTField0">
    <vt:lpwstr/>
  </property>
  <property fmtid="{D5CDD505-2E9C-101B-9397-08002B2CF9AE}" pid="23" name="Type_FV">
    <vt:lpwstr/>
  </property>
  <property fmtid="{D5CDD505-2E9C-101B-9397-08002B2CF9AE}" pid="24" name="Verzendwijze">
    <vt:lpwstr/>
  </property>
  <property fmtid="{D5CDD505-2E9C-101B-9397-08002B2CF9AE}" pid="25" name="Type_FVTaxHTField0">
    <vt:lpwstr/>
  </property>
  <property fmtid="{D5CDD505-2E9C-101B-9397-08002B2CF9AE}" pid="26" name="WetsartikelArtikelTaxHTField0">
    <vt:lpwstr/>
  </property>
  <property fmtid="{D5CDD505-2E9C-101B-9397-08002B2CF9AE}" pid="27" name="DomeinTaxHTField0">
    <vt:lpwstr/>
  </property>
  <property fmtid="{D5CDD505-2E9C-101B-9397-08002B2CF9AE}" pid="28" name="VerzendwijzeTaxHTField0">
    <vt:lpwstr/>
  </property>
  <property fmtid="{D5CDD505-2E9C-101B-9397-08002B2CF9AE}" pid="29" name="Dossierstatus">
    <vt:lpwstr/>
  </property>
  <property fmtid="{D5CDD505-2E9C-101B-9397-08002B2CF9AE}" pid="30" name="BeslisserTaxHTField0">
    <vt:lpwstr/>
  </property>
  <property fmtid="{D5CDD505-2E9C-101B-9397-08002B2CF9AE}" pid="31" name="WetsartikelArtikel">
    <vt:lpwstr/>
  </property>
  <property fmtid="{D5CDD505-2E9C-101B-9397-08002B2CF9AE}" pid="32" name="WetsartikelRegeling">
    <vt:lpwstr/>
  </property>
  <property fmtid="{D5CDD505-2E9C-101B-9397-08002B2CF9AE}" pid="33" name="WetsartikelLid">
    <vt:lpwstr/>
  </property>
  <property fmtid="{D5CDD505-2E9C-101B-9397-08002B2CF9AE}" pid="34" name="ZaaktypeTaxHTField0">
    <vt:lpwstr/>
  </property>
  <property fmtid="{D5CDD505-2E9C-101B-9397-08002B2CF9AE}" pid="35" name="Beslisser">
    <vt:lpwstr/>
  </property>
</Properties>
</file>